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A0B" w:rsidRDefault="008B3E73" w:rsidP="008B3E7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Wrightwood </w:t>
      </w:r>
    </w:p>
    <w:p w:rsidR="008B3E73" w:rsidRDefault="008B3E73" w:rsidP="008B3E7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2016 2</w:t>
      </w:r>
      <w:r w:rsidRPr="008B3E73">
        <w:rPr>
          <w:b/>
          <w:i/>
          <w:sz w:val="40"/>
          <w:szCs w:val="40"/>
          <w:vertAlign w:val="superscript"/>
        </w:rPr>
        <w:t>nd</w:t>
      </w:r>
      <w:r>
        <w:rPr>
          <w:b/>
          <w:i/>
          <w:sz w:val="40"/>
          <w:szCs w:val="40"/>
        </w:rPr>
        <w:t xml:space="preserve"> Quarter Sales </w:t>
      </w:r>
    </w:p>
    <w:p w:rsidR="008B3E73" w:rsidRPr="008B3E73" w:rsidRDefault="008B3E73" w:rsidP="008B3E73">
      <w:pPr>
        <w:jc w:val="center"/>
        <w:rPr>
          <w:b/>
          <w:i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357739BD" wp14:editId="22AAF9D0">
            <wp:extent cx="9248775" cy="58197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B3E73" w:rsidRPr="008B3E73" w:rsidSect="008B3E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73"/>
    <w:rsid w:val="00131A0B"/>
    <w:rsid w:val="008B3E73"/>
    <w:rsid w:val="00E23654"/>
    <w:rsid w:val="00F2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5A3E6-9141-48C1-BAEA-82839187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5</c:v>
                </c:pt>
                <c:pt idx="6">
                  <c:v>5</c:v>
                </c:pt>
                <c:pt idx="7">
                  <c:v>4</c:v>
                </c:pt>
                <c:pt idx="8">
                  <c:v>4</c:v>
                </c:pt>
                <c:pt idx="9">
                  <c:v>2</c:v>
                </c:pt>
                <c:pt idx="10">
                  <c:v>3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3999584"/>
        <c:axId val="293999192"/>
        <c:axId val="0"/>
      </c:bar3DChart>
      <c:catAx>
        <c:axId val="293999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3999192"/>
        <c:crosses val="autoZero"/>
        <c:auto val="1"/>
        <c:lblAlgn val="ctr"/>
        <c:lblOffset val="100"/>
        <c:noMultiLvlLbl val="0"/>
      </c:catAx>
      <c:valAx>
        <c:axId val="2939991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93999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0.16169</cdr:x>
      <cdr:y>0.20949</cdr:y>
    </cdr:from>
    <cdr:to>
      <cdr:x>0.51081</cdr:x>
      <cdr:y>0.25532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95425" y="1219200"/>
          <a:ext cx="32289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2,369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1989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0.16169</cdr:x>
      <cdr:y>0.2766</cdr:y>
    </cdr:from>
    <cdr:to>
      <cdr:x>0.4964</cdr:x>
      <cdr:y>0.31915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95425" y="1609725"/>
          <a:ext cx="30956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1,811 </a:t>
          </a:r>
          <a:r>
            <a:rPr lang="en-US" sz="1000" i="1"/>
            <a:t>- Average Year Built </a:t>
          </a:r>
          <a:r>
            <a:rPr lang="en-US" sz="1000" b="1" i="1"/>
            <a:t>1991</a:t>
          </a:r>
        </a:p>
      </cdr:txBody>
    </cdr:sp>
  </cdr:relSizeAnchor>
  <cdr:relSizeAnchor xmlns:cdr="http://schemas.openxmlformats.org/drawingml/2006/chartDrawing">
    <cdr:from>
      <cdr:x>0.16169</cdr:x>
      <cdr:y>0.34206</cdr:y>
    </cdr:from>
    <cdr:to>
      <cdr:x>0.5242</cdr:x>
      <cdr:y>0.38625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95425" y="1990725"/>
          <a:ext cx="33528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1,638</a:t>
          </a:r>
          <a:r>
            <a:rPr lang="en-US" sz="1000" b="1" i="1" baseline="0"/>
            <a:t> </a:t>
          </a:r>
          <a:r>
            <a:rPr lang="en-US" sz="1000" i="1" baseline="0"/>
            <a:t>- Average Year Built </a:t>
          </a:r>
          <a:r>
            <a:rPr lang="en-US" sz="1000" b="1" i="1" baseline="0"/>
            <a:t>1981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0.16169</cdr:x>
      <cdr:y>0.4108</cdr:y>
    </cdr:from>
    <cdr:to>
      <cdr:x>0.56437</cdr:x>
      <cdr:y>0.45172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95425" y="2390775"/>
          <a:ext cx="37242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1,435</a:t>
          </a:r>
          <a:r>
            <a:rPr lang="en-US" sz="1000" i="1" baseline="0"/>
            <a:t> - Average Year Built </a:t>
          </a:r>
          <a:r>
            <a:rPr lang="en-US" sz="1000" b="1" i="1" baseline="0"/>
            <a:t>1969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0.16066</cdr:x>
      <cdr:y>0.47463</cdr:y>
    </cdr:from>
    <cdr:to>
      <cdr:x>0.5345</cdr:x>
      <cdr:y>0.51882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2762250"/>
          <a:ext cx="34575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1,360</a:t>
          </a:r>
          <a:r>
            <a:rPr lang="en-US" sz="1000" i="1" baseline="0"/>
            <a:t> - Average Year Built </a:t>
          </a:r>
          <a:r>
            <a:rPr lang="en-US" sz="1000" b="1" i="1" baseline="0"/>
            <a:t>1966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0.16066</cdr:x>
      <cdr:y>0.54337</cdr:y>
    </cdr:from>
    <cdr:to>
      <cdr:x>0.50154</cdr:x>
      <cdr:y>0.58429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3162300"/>
          <a:ext cx="31527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1,459</a:t>
          </a:r>
          <a:r>
            <a:rPr lang="en-US" sz="1000" i="1"/>
            <a:t> - Average Year Built </a:t>
          </a:r>
          <a:r>
            <a:rPr lang="en-US" sz="1000" b="1" i="1"/>
            <a:t>1969</a:t>
          </a:r>
        </a:p>
      </cdr:txBody>
    </cdr:sp>
  </cdr:relSizeAnchor>
  <cdr:relSizeAnchor xmlns:cdr="http://schemas.openxmlformats.org/drawingml/2006/chartDrawing">
    <cdr:from>
      <cdr:x>0.16169</cdr:x>
      <cdr:y>0.60884</cdr:y>
    </cdr:from>
    <cdr:to>
      <cdr:x>0.49743</cdr:x>
      <cdr:y>0.64812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95425" y="3543300"/>
          <a:ext cx="31051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1,545 </a:t>
          </a:r>
          <a:r>
            <a:rPr lang="en-US" sz="1000" i="1"/>
            <a:t>- Average Year Built </a:t>
          </a:r>
          <a:r>
            <a:rPr lang="en-US" sz="1000" b="1" i="1"/>
            <a:t>1965</a:t>
          </a:r>
        </a:p>
      </cdr:txBody>
    </cdr:sp>
  </cdr:relSizeAnchor>
  <cdr:relSizeAnchor xmlns:cdr="http://schemas.openxmlformats.org/drawingml/2006/chartDrawing">
    <cdr:from>
      <cdr:x>0.15963</cdr:x>
      <cdr:y>0.67267</cdr:y>
    </cdr:from>
    <cdr:to>
      <cdr:x>0.54995</cdr:x>
      <cdr:y>0.71686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914775"/>
          <a:ext cx="36099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1,940</a:t>
          </a:r>
          <a:r>
            <a:rPr lang="en-US" sz="1000" i="1" baseline="0"/>
            <a:t> - Average Year Built </a:t>
          </a:r>
          <a:r>
            <a:rPr lang="en-US" sz="1000" b="1" i="1" baseline="0"/>
            <a:t>1983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0.16066</cdr:x>
      <cdr:y>0.73977</cdr:y>
    </cdr:from>
    <cdr:to>
      <cdr:x>0.52523</cdr:x>
      <cdr:y>0.7856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85900" y="4305300"/>
          <a:ext cx="33718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956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1939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0.16066</cdr:x>
      <cdr:y>0.80524</cdr:y>
    </cdr:from>
    <cdr:to>
      <cdr:x>0.5654</cdr:x>
      <cdr:y>0.84779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4686300"/>
          <a:ext cx="37433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972 </a:t>
          </a:r>
          <a:r>
            <a:rPr lang="en-US" sz="1000" i="1"/>
            <a:t>- Average Year Built </a:t>
          </a:r>
          <a:r>
            <a:rPr lang="en-US" sz="1000" b="1" i="1"/>
            <a:t>1930</a:t>
          </a:r>
        </a:p>
      </cdr:txBody>
    </cdr:sp>
  </cdr:relSizeAnchor>
  <cdr:relSizeAnchor xmlns:cdr="http://schemas.openxmlformats.org/drawingml/2006/chartDrawing">
    <cdr:from>
      <cdr:x>0.16169</cdr:x>
      <cdr:y>0.8707</cdr:y>
    </cdr:from>
    <cdr:to>
      <cdr:x>0.63028</cdr:x>
      <cdr:y>0.92471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95425" y="5067300"/>
          <a:ext cx="433387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1,220</a:t>
          </a:r>
          <a:r>
            <a:rPr lang="en-US" sz="1000" i="1"/>
            <a:t> - Average Year Built </a:t>
          </a:r>
          <a:r>
            <a:rPr lang="en-US" sz="1000" b="1" i="1"/>
            <a:t>1964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2016-07-20T20:17:00Z</dcterms:created>
  <dcterms:modified xsi:type="dcterms:W3CDTF">2016-07-20T20:49:00Z</dcterms:modified>
</cp:coreProperties>
</file>